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D921D" w14:textId="77777777" w:rsidR="00B734CD" w:rsidRPr="00D6375A" w:rsidRDefault="00B734CD" w:rsidP="00B734CD">
      <w:pPr>
        <w:rPr>
          <w:rFonts w:ascii="Calibri" w:hAnsi="Calibri" w:cs="Calibri"/>
          <w:sz w:val="22"/>
          <w:szCs w:val="22"/>
        </w:rPr>
      </w:pPr>
      <w:r>
        <w:rPr>
          <w:rFonts w:ascii="Calibri" w:hAnsi="Calibri" w:cs="Calibri"/>
          <w:sz w:val="22"/>
          <w:szCs w:val="22"/>
        </w:rPr>
        <w:t>September</w:t>
      </w:r>
      <w:r w:rsidRPr="00D6375A">
        <w:rPr>
          <w:rFonts w:ascii="Calibri" w:hAnsi="Calibri" w:cs="Calibri"/>
          <w:sz w:val="22"/>
          <w:szCs w:val="22"/>
        </w:rPr>
        <w:t>__, 2026</w:t>
      </w:r>
    </w:p>
    <w:p w14:paraId="01EB4931" w14:textId="77777777" w:rsidR="00B734CD" w:rsidRPr="00D6375A" w:rsidRDefault="00B734CD" w:rsidP="00B734CD">
      <w:pPr>
        <w:rPr>
          <w:rFonts w:ascii="Calibri" w:hAnsi="Calibri" w:cs="Calibri"/>
          <w:sz w:val="22"/>
          <w:szCs w:val="22"/>
        </w:rPr>
      </w:pPr>
      <w:r w:rsidRPr="00D6375A">
        <w:rPr>
          <w:rFonts w:ascii="Calibri" w:hAnsi="Calibri" w:cs="Calibri"/>
          <w:sz w:val="22"/>
          <w:szCs w:val="22"/>
        </w:rPr>
        <w:t>The Honorable Jared W. Perdue</w:t>
      </w:r>
      <w:r w:rsidRPr="00D6375A">
        <w:rPr>
          <w:rFonts w:ascii="Calibri" w:hAnsi="Calibri" w:cs="Calibri"/>
          <w:sz w:val="22"/>
          <w:szCs w:val="22"/>
        </w:rPr>
        <w:br/>
        <w:t>Secretary</w:t>
      </w:r>
      <w:r w:rsidRPr="00D6375A">
        <w:rPr>
          <w:rFonts w:ascii="Calibri" w:hAnsi="Calibri" w:cs="Calibri"/>
          <w:sz w:val="22"/>
          <w:szCs w:val="22"/>
        </w:rPr>
        <w:br/>
        <w:t>Florida Department of Transportation</w:t>
      </w:r>
      <w:r w:rsidRPr="00D6375A">
        <w:rPr>
          <w:rFonts w:ascii="Calibri" w:hAnsi="Calibri" w:cs="Calibri"/>
          <w:sz w:val="22"/>
          <w:szCs w:val="22"/>
        </w:rPr>
        <w:br/>
        <w:t>605 Suwannee Street, MS 57</w:t>
      </w:r>
      <w:r w:rsidRPr="00D6375A">
        <w:rPr>
          <w:rFonts w:ascii="Calibri" w:hAnsi="Calibri" w:cs="Calibri"/>
          <w:sz w:val="22"/>
          <w:szCs w:val="22"/>
        </w:rPr>
        <w:br/>
        <w:t>Tallahassee, FL 32399-0450</w:t>
      </w:r>
    </w:p>
    <w:p w14:paraId="3A638A95" w14:textId="77777777" w:rsidR="00B734CD" w:rsidRPr="00D6375A" w:rsidRDefault="00B734CD" w:rsidP="00B734CD">
      <w:pPr>
        <w:rPr>
          <w:rFonts w:ascii="Calibri" w:hAnsi="Calibri" w:cs="Calibri"/>
          <w:sz w:val="22"/>
          <w:szCs w:val="22"/>
        </w:rPr>
      </w:pPr>
      <w:r w:rsidRPr="00D6375A">
        <w:rPr>
          <w:rFonts w:ascii="Calibri" w:hAnsi="Calibri" w:cs="Calibri"/>
          <w:sz w:val="22"/>
          <w:szCs w:val="22"/>
        </w:rPr>
        <w:t>Dear Secretary Perdue:</w:t>
      </w:r>
    </w:p>
    <w:p w14:paraId="17C84F4C" w14:textId="77777777" w:rsidR="00B734CD" w:rsidRPr="00D6375A" w:rsidRDefault="00B734CD" w:rsidP="00B734CD">
      <w:pPr>
        <w:rPr>
          <w:rFonts w:ascii="Calibri" w:hAnsi="Calibri" w:cs="Calibri"/>
          <w:sz w:val="22"/>
          <w:szCs w:val="22"/>
        </w:rPr>
      </w:pPr>
      <w:r w:rsidRPr="00D6375A">
        <w:rPr>
          <w:rFonts w:ascii="Calibri" w:hAnsi="Calibri" w:cs="Calibri"/>
          <w:sz w:val="22"/>
          <w:szCs w:val="22"/>
        </w:rPr>
        <w:t>On behalf of the Electrification Coalition</w:t>
      </w:r>
      <w:r>
        <w:rPr>
          <w:rFonts w:ascii="Calibri" w:hAnsi="Calibri" w:cs="Calibri"/>
          <w:sz w:val="22"/>
          <w:szCs w:val="22"/>
        </w:rPr>
        <w:t xml:space="preserve"> (EC)</w:t>
      </w:r>
      <w:r w:rsidRPr="00D6375A">
        <w:rPr>
          <w:rFonts w:ascii="Calibri" w:hAnsi="Calibri" w:cs="Calibri"/>
          <w:sz w:val="22"/>
          <w:szCs w:val="22"/>
        </w:rPr>
        <w:t xml:space="preserve"> and the undersigned businesses and organizations, we write to express serious concerns regarding the Florida Department of Transportation’s (FDOT) September 2025 National Electric Vehicle Infrastructure (NEVI) plan and its proposed use of Florida’s NEVI allocation for electric vertical takeoff and landing (eVTOL) infrastructure.</w:t>
      </w:r>
    </w:p>
    <w:p w14:paraId="7A96E6EE" w14:textId="77777777" w:rsidR="00B734CD" w:rsidRDefault="00B734CD" w:rsidP="00B734CD">
      <w:pPr>
        <w:rPr>
          <w:rFonts w:ascii="Calibri" w:hAnsi="Calibri" w:cs="Calibri"/>
          <w:sz w:val="22"/>
          <w:szCs w:val="22"/>
        </w:rPr>
      </w:pPr>
    </w:p>
    <w:p w14:paraId="0A262DE1" w14:textId="77777777" w:rsidR="00B734CD" w:rsidRPr="00D6375A" w:rsidRDefault="00B734CD" w:rsidP="00B734CD">
      <w:pPr>
        <w:rPr>
          <w:rFonts w:ascii="Calibri" w:hAnsi="Calibri" w:cs="Calibri"/>
          <w:b/>
          <w:bCs/>
          <w:sz w:val="22"/>
          <w:szCs w:val="22"/>
        </w:rPr>
      </w:pPr>
      <w:r w:rsidRPr="00D6375A">
        <w:rPr>
          <w:rFonts w:ascii="Calibri" w:hAnsi="Calibri" w:cs="Calibri"/>
          <w:b/>
          <w:bCs/>
          <w:sz w:val="22"/>
          <w:szCs w:val="22"/>
        </w:rPr>
        <w:t>Request for FDOT Action</w:t>
      </w:r>
    </w:p>
    <w:p w14:paraId="75BAB620" w14:textId="77777777" w:rsidR="00B734CD" w:rsidRPr="00D6375A" w:rsidRDefault="00B734CD" w:rsidP="00B734CD">
      <w:pPr>
        <w:rPr>
          <w:rFonts w:ascii="Calibri" w:hAnsi="Calibri" w:cs="Calibri"/>
          <w:sz w:val="22"/>
          <w:szCs w:val="22"/>
        </w:rPr>
      </w:pPr>
      <w:r w:rsidRPr="00D6375A">
        <w:rPr>
          <w:rFonts w:ascii="Calibri" w:hAnsi="Calibri" w:cs="Calibri"/>
          <w:sz w:val="22"/>
          <w:szCs w:val="22"/>
        </w:rPr>
        <w:t>We respectfully urge FDOT to withdraw or substantially revise its September 2025 NEVI plan and redirect Florida’s remaining NEVI allocation toward publicly accessible ground transportation charging infrastructure consistent with the purpose of the program.</w:t>
      </w:r>
    </w:p>
    <w:p w14:paraId="16E9DBF8" w14:textId="77777777" w:rsidR="00B734CD" w:rsidRDefault="00B734CD" w:rsidP="00B734CD">
      <w:pPr>
        <w:rPr>
          <w:rFonts w:ascii="Calibri" w:hAnsi="Calibri" w:cs="Calibri"/>
          <w:sz w:val="22"/>
          <w:szCs w:val="22"/>
        </w:rPr>
      </w:pPr>
      <w:r w:rsidRPr="00D6375A">
        <w:rPr>
          <w:rFonts w:ascii="Calibri" w:hAnsi="Calibri" w:cs="Calibri"/>
          <w:sz w:val="22"/>
          <w:szCs w:val="22"/>
        </w:rPr>
        <w:t xml:space="preserve">Florida has an opportunity to use these federal funds to strengthen transportation infrastructure, attract private investment, support consumer choice, and ensure that businesses and residents have access to reliable charging where it is needed most. Redirecting these funds toward emerging aviation infrastructure before Florida’s ground </w:t>
      </w:r>
      <w:proofErr w:type="gramStart"/>
      <w:r w:rsidRPr="00D6375A">
        <w:rPr>
          <w:rFonts w:ascii="Calibri" w:hAnsi="Calibri" w:cs="Calibri"/>
          <w:sz w:val="22"/>
          <w:szCs w:val="22"/>
        </w:rPr>
        <w:t>transportation charging</w:t>
      </w:r>
      <w:proofErr w:type="gramEnd"/>
      <w:r w:rsidRPr="00D6375A">
        <w:rPr>
          <w:rFonts w:ascii="Calibri" w:hAnsi="Calibri" w:cs="Calibri"/>
          <w:sz w:val="22"/>
          <w:szCs w:val="22"/>
        </w:rPr>
        <w:t xml:space="preserve"> needs have been adequately addressed would represent a missed opportunity.</w:t>
      </w:r>
    </w:p>
    <w:p w14:paraId="24A873C4" w14:textId="77777777" w:rsidR="00B734CD" w:rsidRPr="00D6375A" w:rsidRDefault="00B734CD" w:rsidP="00B734CD">
      <w:pPr>
        <w:rPr>
          <w:rFonts w:ascii="Calibri" w:hAnsi="Calibri" w:cs="Calibri"/>
          <w:sz w:val="22"/>
          <w:szCs w:val="22"/>
        </w:rPr>
      </w:pPr>
      <w:r w:rsidRPr="00D6375A">
        <w:rPr>
          <w:rFonts w:ascii="Calibri" w:hAnsi="Calibri" w:cs="Calibri"/>
          <w:sz w:val="22"/>
          <w:szCs w:val="22"/>
        </w:rPr>
        <w:t>As part of that process, we encourage FDOT to engage charging providers, utilities, automakers, fleets, local governments, businesses, and other stakeholders to identify where targeted federal investment can address remaining infrastructure gaps while maximizing private-sector participation.</w:t>
      </w:r>
    </w:p>
    <w:p w14:paraId="6D6DE24B" w14:textId="77777777" w:rsidR="00B734CD" w:rsidRDefault="00B734CD" w:rsidP="00B734CD">
      <w:pPr>
        <w:rPr>
          <w:rFonts w:ascii="Calibri" w:hAnsi="Calibri" w:cs="Calibri"/>
          <w:b/>
          <w:bCs/>
          <w:sz w:val="22"/>
          <w:szCs w:val="22"/>
        </w:rPr>
      </w:pPr>
      <w:r w:rsidRPr="71DDDE65">
        <w:rPr>
          <w:rFonts w:ascii="Calibri" w:hAnsi="Calibri" w:cs="Calibri"/>
          <w:sz w:val="22"/>
          <w:szCs w:val="22"/>
        </w:rPr>
        <w:t>We</w:t>
      </w:r>
      <w:r w:rsidRPr="00D6375A">
        <w:rPr>
          <w:rFonts w:ascii="Calibri" w:hAnsi="Calibri" w:cs="Calibri"/>
          <w:sz w:val="22"/>
          <w:szCs w:val="22"/>
        </w:rPr>
        <w:t xml:space="preserve"> stand ready to work with FDOT to identify high-value opportunities for NEVI investment and support a revised plan that maximizes benefits for Florida residents, businesses, and taxpayers.</w:t>
      </w:r>
    </w:p>
    <w:p w14:paraId="2B8F4B03" w14:textId="77777777" w:rsidR="00B734CD" w:rsidRPr="00D6375A" w:rsidRDefault="00B734CD" w:rsidP="00B734CD">
      <w:pPr>
        <w:rPr>
          <w:rFonts w:ascii="Calibri" w:hAnsi="Calibri" w:cs="Calibri"/>
          <w:b/>
          <w:bCs/>
          <w:sz w:val="22"/>
          <w:szCs w:val="22"/>
        </w:rPr>
      </w:pPr>
      <w:r w:rsidRPr="00D6375A">
        <w:rPr>
          <w:rFonts w:ascii="Calibri" w:hAnsi="Calibri" w:cs="Calibri"/>
          <w:b/>
          <w:bCs/>
          <w:sz w:val="22"/>
          <w:szCs w:val="22"/>
        </w:rPr>
        <w:t>NEVI Funds Should Leverage, Not Displace, Private Investment</w:t>
      </w:r>
    </w:p>
    <w:p w14:paraId="333D7DFE" w14:textId="77777777" w:rsidR="00B734CD" w:rsidRPr="00D6375A" w:rsidRDefault="00B734CD" w:rsidP="00B734CD">
      <w:pPr>
        <w:rPr>
          <w:rFonts w:ascii="Calibri" w:hAnsi="Calibri" w:cs="Calibri"/>
          <w:sz w:val="22"/>
          <w:szCs w:val="22"/>
        </w:rPr>
      </w:pPr>
      <w:r w:rsidRPr="00D6375A">
        <w:rPr>
          <w:rFonts w:ascii="Calibri" w:hAnsi="Calibri" w:cs="Calibri"/>
          <w:sz w:val="22"/>
          <w:szCs w:val="22"/>
        </w:rPr>
        <w:t>We are also concerned about the proposal for the state to cover the 20 percent non-federal share associated with the proposed eVTOL investments. Under the traditional NEVI model, federal investment can leverage significant private capital from charging providers, site hosts, utilities, and other market participants.</w:t>
      </w:r>
    </w:p>
    <w:p w14:paraId="59175330" w14:textId="77777777" w:rsidR="00B734CD" w:rsidRPr="00D6375A" w:rsidRDefault="00B734CD" w:rsidP="00B734CD">
      <w:pPr>
        <w:rPr>
          <w:rFonts w:ascii="Calibri" w:hAnsi="Calibri" w:cs="Calibri"/>
          <w:sz w:val="22"/>
          <w:szCs w:val="22"/>
        </w:rPr>
      </w:pPr>
      <w:r w:rsidRPr="00D6375A">
        <w:rPr>
          <w:rFonts w:ascii="Calibri" w:hAnsi="Calibri" w:cs="Calibri"/>
          <w:sz w:val="22"/>
          <w:szCs w:val="22"/>
        </w:rPr>
        <w:t>Using state taxpayer dollars to provide the non-federal share for infrastructure supporting a nascent aviation technology would shift additional financial risk to Florida taxpayers while foregoing an opportunity to leverage private investment in ground transportation infrastructure for which substantial consumer demand already exists.</w:t>
      </w:r>
    </w:p>
    <w:p w14:paraId="6EDF3113" w14:textId="77777777" w:rsidR="00B734CD" w:rsidRDefault="00B734CD" w:rsidP="00B734CD">
      <w:pPr>
        <w:rPr>
          <w:rFonts w:ascii="Calibri" w:hAnsi="Calibri" w:cs="Calibri"/>
          <w:b/>
          <w:bCs/>
          <w:sz w:val="22"/>
          <w:szCs w:val="22"/>
        </w:rPr>
      </w:pPr>
    </w:p>
    <w:p w14:paraId="036AA18A" w14:textId="77777777" w:rsidR="00B734CD" w:rsidRPr="00D6375A" w:rsidRDefault="00B734CD" w:rsidP="00B734CD">
      <w:pPr>
        <w:rPr>
          <w:rFonts w:ascii="Calibri" w:hAnsi="Calibri" w:cs="Calibri"/>
          <w:b/>
          <w:bCs/>
          <w:sz w:val="22"/>
          <w:szCs w:val="22"/>
        </w:rPr>
      </w:pPr>
      <w:r w:rsidRPr="00D6375A">
        <w:rPr>
          <w:rFonts w:ascii="Calibri" w:hAnsi="Calibri" w:cs="Calibri"/>
          <w:b/>
          <w:bCs/>
          <w:sz w:val="22"/>
          <w:szCs w:val="22"/>
        </w:rPr>
        <w:t>Florida Has Significant Remaining Charging Needs</w:t>
      </w:r>
    </w:p>
    <w:p w14:paraId="2CC3D385" w14:textId="77777777" w:rsidR="00B734CD" w:rsidRPr="00D6375A" w:rsidRDefault="00B734CD" w:rsidP="00B734CD">
      <w:pPr>
        <w:rPr>
          <w:rFonts w:ascii="Calibri" w:hAnsi="Calibri" w:cs="Calibri"/>
          <w:sz w:val="22"/>
          <w:szCs w:val="22"/>
        </w:rPr>
      </w:pPr>
      <w:r w:rsidRPr="00D6375A">
        <w:rPr>
          <w:rFonts w:ascii="Calibri" w:hAnsi="Calibri" w:cs="Calibri"/>
          <w:sz w:val="22"/>
          <w:szCs w:val="22"/>
        </w:rPr>
        <w:t xml:space="preserve">Private investment has played </w:t>
      </w:r>
      <w:r>
        <w:rPr>
          <w:rFonts w:ascii="Calibri" w:hAnsi="Calibri" w:cs="Calibri"/>
          <w:sz w:val="22"/>
          <w:szCs w:val="22"/>
        </w:rPr>
        <w:t>a significant</w:t>
      </w:r>
      <w:r w:rsidRPr="00D6375A">
        <w:rPr>
          <w:rFonts w:ascii="Calibri" w:hAnsi="Calibri" w:cs="Calibri"/>
          <w:sz w:val="22"/>
          <w:szCs w:val="22"/>
        </w:rPr>
        <w:t xml:space="preserve"> role in expanding Florida’s charging network, and continued private-sector investment should remain central to the state’s approach. However, the existence of private investment along major interstate corridors does not mean Florida’s charging infrastructure needs have been fully met.</w:t>
      </w:r>
    </w:p>
    <w:p w14:paraId="6F966B7B" w14:textId="77777777" w:rsidR="00B734CD" w:rsidRPr="00D6375A" w:rsidRDefault="00B734CD" w:rsidP="00B734CD">
      <w:pPr>
        <w:rPr>
          <w:rFonts w:ascii="Calibri" w:hAnsi="Calibri" w:cs="Calibri"/>
          <w:sz w:val="22"/>
          <w:szCs w:val="22"/>
        </w:rPr>
      </w:pPr>
      <w:r w:rsidRPr="00D6375A">
        <w:rPr>
          <w:rFonts w:ascii="Calibri" w:hAnsi="Calibri" w:cs="Calibri"/>
          <w:sz w:val="22"/>
          <w:szCs w:val="22"/>
        </w:rPr>
        <w:t>Significant opportunities remain to strategically deploy NEVI funding where public investment can complement private capital, close infrastructure gaps, and support broader economic activity. These investments would help ensure that Florida’s transportation infrastructure keeps pace with consumer demand while supporting businesses, fleets, tourists, and residents traveling throughout the state.</w:t>
      </w:r>
    </w:p>
    <w:p w14:paraId="2080051A" w14:textId="147B90A7" w:rsidR="00BC6421" w:rsidRPr="00BC6421" w:rsidRDefault="00BC6421" w:rsidP="00B734CD">
      <w:pPr>
        <w:rPr>
          <w:rFonts w:ascii="Calibri" w:hAnsi="Calibri" w:cs="Calibri"/>
          <w:b/>
          <w:bCs/>
          <w:sz w:val="22"/>
          <w:szCs w:val="22"/>
        </w:rPr>
      </w:pPr>
      <w:r w:rsidRPr="00BC6421">
        <w:rPr>
          <w:rFonts w:ascii="Calibri" w:hAnsi="Calibri" w:cs="Calibri"/>
          <w:b/>
          <w:bCs/>
          <w:sz w:val="22"/>
          <w:szCs w:val="22"/>
        </w:rPr>
        <w:t>Conclusion</w:t>
      </w:r>
    </w:p>
    <w:p w14:paraId="1E6016B7" w14:textId="3F79034A" w:rsidR="00B734CD" w:rsidRPr="00D6375A" w:rsidRDefault="00B734CD" w:rsidP="00B734CD">
      <w:pPr>
        <w:rPr>
          <w:rFonts w:ascii="Calibri" w:hAnsi="Calibri" w:cs="Calibri"/>
          <w:sz w:val="22"/>
          <w:szCs w:val="22"/>
        </w:rPr>
      </w:pPr>
      <w:r w:rsidRPr="00D6375A">
        <w:rPr>
          <w:rFonts w:ascii="Calibri" w:hAnsi="Calibri" w:cs="Calibri"/>
          <w:sz w:val="22"/>
          <w:szCs w:val="22"/>
        </w:rPr>
        <w:t xml:space="preserve">The </w:t>
      </w:r>
      <w:r>
        <w:rPr>
          <w:rFonts w:ascii="Calibri" w:hAnsi="Calibri" w:cs="Calibri"/>
          <w:sz w:val="22"/>
          <w:szCs w:val="22"/>
        </w:rPr>
        <w:t>EC</w:t>
      </w:r>
      <w:r w:rsidRPr="00D6375A">
        <w:rPr>
          <w:rFonts w:ascii="Calibri" w:hAnsi="Calibri" w:cs="Calibri"/>
          <w:sz w:val="22"/>
          <w:szCs w:val="22"/>
        </w:rPr>
        <w:t xml:space="preserve"> is a nonpartisan, nonprofit organization that works to advance transportation electrification to strengthen U.S. economic and national security, reduce dependence on oil, and support a competitive domestic transportation sector. Our business partners and fellow signatories represent companies and organizations with an interest in Florida’s continued economic growth and the development of reliable, market-driven transportation infrastructure.</w:t>
      </w:r>
    </w:p>
    <w:p w14:paraId="67542D64" w14:textId="77777777" w:rsidR="00B734CD" w:rsidRPr="00D6375A" w:rsidRDefault="00B734CD" w:rsidP="00B734CD">
      <w:pPr>
        <w:rPr>
          <w:rFonts w:ascii="Calibri" w:hAnsi="Calibri" w:cs="Calibri"/>
          <w:sz w:val="22"/>
          <w:szCs w:val="22"/>
        </w:rPr>
      </w:pPr>
      <w:r w:rsidRPr="00D6375A">
        <w:rPr>
          <w:rFonts w:ascii="Calibri" w:hAnsi="Calibri" w:cs="Calibri"/>
          <w:sz w:val="22"/>
          <w:szCs w:val="22"/>
        </w:rPr>
        <w:t>Florida is one of the nation’s largest electric vehicle markets, with more than 500,000 light-duty EVs sold cumulatively through the end of 2025 and EVs representing approximately 10 percent of recent passenger vehicle sales. Yet the availability of public charging infrastructure has not kept pace with consumer adoption. Florida continues to rank near the bottom nationally in public charging ports relative to the number of EVs on its roads.</w:t>
      </w:r>
    </w:p>
    <w:p w14:paraId="235E3709" w14:textId="77777777" w:rsidR="00B734CD" w:rsidRPr="00D6375A" w:rsidRDefault="00B734CD" w:rsidP="00B734CD">
      <w:r w:rsidRPr="00D6375A">
        <w:rPr>
          <w:rFonts w:ascii="Calibri" w:hAnsi="Calibri" w:cs="Calibri"/>
          <w:sz w:val="22"/>
          <w:szCs w:val="22"/>
        </w:rPr>
        <w:t>Congress established the NEVI Formula Program through the Infrastructure Investment and Jobs Act to support the deployment of a reliable, interconnected network of publicly accessible EV charging infrastructure. Updated Federal Highway Administration (FHWA) guidance provides states greater flexibility once Alternative Fuel Corridors are fully built out, but that flexibility remains focused on deploying EV charging infrastructure on public roads and at other publicly accessible locations.</w:t>
      </w:r>
    </w:p>
    <w:p w14:paraId="707228B6" w14:textId="77777777" w:rsidR="00B734CD" w:rsidRDefault="00B734CD" w:rsidP="00B734CD">
      <w:pPr>
        <w:rPr>
          <w:rFonts w:ascii="Calibri" w:hAnsi="Calibri" w:cs="Calibri"/>
          <w:sz w:val="22"/>
          <w:szCs w:val="22"/>
        </w:rPr>
      </w:pPr>
      <w:r w:rsidRPr="00BC6421">
        <w:rPr>
          <w:rFonts w:ascii="Calibri" w:hAnsi="Calibri" w:cs="Calibri"/>
          <w:sz w:val="22"/>
          <w:szCs w:val="22"/>
        </w:rPr>
        <w:t xml:space="preserve">While </w:t>
      </w:r>
      <w:r w:rsidRPr="00BC6421">
        <w:rPr>
          <w:rFonts w:ascii="Calibri" w:eastAsia="Calibri" w:hAnsi="Calibri" w:cs="Calibri"/>
          <w:sz w:val="23"/>
          <w:szCs w:val="23"/>
        </w:rPr>
        <w:t>eVTOL technologies are an important innovative aerial mobility solution,</w:t>
      </w:r>
      <w:r w:rsidRPr="00BC6421">
        <w:rPr>
          <w:rFonts w:ascii="Calibri" w:eastAsia="Calibri" w:hAnsi="Calibri" w:cs="Calibri"/>
          <w:sz w:val="22"/>
          <w:szCs w:val="22"/>
        </w:rPr>
        <w:t xml:space="preserve"> </w:t>
      </w:r>
      <w:r w:rsidRPr="33282F2F">
        <w:rPr>
          <w:rFonts w:ascii="Calibri" w:hAnsi="Calibri" w:cs="Calibri"/>
          <w:sz w:val="22"/>
          <w:szCs w:val="22"/>
        </w:rPr>
        <w:t>FDOT’s</w:t>
      </w:r>
      <w:r w:rsidRPr="23399E8B">
        <w:rPr>
          <w:rFonts w:ascii="Calibri" w:hAnsi="Calibri" w:cs="Calibri"/>
          <w:sz w:val="22"/>
          <w:szCs w:val="22"/>
        </w:rPr>
        <w:t xml:space="preserve"> proposal to direct nearly $200 million in federal NEVI funding toward 32 </w:t>
      </w:r>
      <w:r w:rsidRPr="40287754">
        <w:rPr>
          <w:rFonts w:ascii="Calibri" w:hAnsi="Calibri" w:cs="Calibri"/>
          <w:sz w:val="22"/>
          <w:szCs w:val="22"/>
        </w:rPr>
        <w:t>dual</w:t>
      </w:r>
      <w:r w:rsidRPr="23399E8B">
        <w:rPr>
          <w:rFonts w:ascii="Calibri" w:hAnsi="Calibri" w:cs="Calibri"/>
          <w:sz w:val="22"/>
          <w:szCs w:val="22"/>
        </w:rPr>
        <w:t>-purpose facilities and landing pads designed in part to support eVTOL aircraft</w:t>
      </w:r>
      <w:r w:rsidRPr="74DC943A">
        <w:rPr>
          <w:rFonts w:ascii="Calibri" w:hAnsi="Calibri" w:cs="Calibri"/>
          <w:sz w:val="22"/>
          <w:szCs w:val="22"/>
        </w:rPr>
        <w:t xml:space="preserve"> </w:t>
      </w:r>
      <w:r w:rsidRPr="1C6A1787">
        <w:rPr>
          <w:rFonts w:ascii="Calibri" w:hAnsi="Calibri" w:cs="Calibri"/>
          <w:sz w:val="22"/>
          <w:szCs w:val="22"/>
        </w:rPr>
        <w:t xml:space="preserve">is </w:t>
      </w:r>
      <w:r w:rsidRPr="4B004109">
        <w:rPr>
          <w:rFonts w:ascii="Calibri" w:hAnsi="Calibri" w:cs="Calibri"/>
          <w:sz w:val="22"/>
          <w:szCs w:val="22"/>
        </w:rPr>
        <w:t xml:space="preserve">misaligned with </w:t>
      </w:r>
      <w:r w:rsidRPr="44ED7198">
        <w:rPr>
          <w:rFonts w:ascii="Calibri" w:hAnsi="Calibri" w:cs="Calibri"/>
          <w:sz w:val="22"/>
          <w:szCs w:val="22"/>
        </w:rPr>
        <w:t xml:space="preserve">the </w:t>
      </w:r>
      <w:r w:rsidRPr="60C4D75E">
        <w:rPr>
          <w:rFonts w:ascii="Calibri" w:hAnsi="Calibri" w:cs="Calibri"/>
          <w:sz w:val="22"/>
          <w:szCs w:val="22"/>
        </w:rPr>
        <w:t xml:space="preserve">goals and </w:t>
      </w:r>
      <w:r w:rsidRPr="3B94FF89">
        <w:rPr>
          <w:rFonts w:ascii="Calibri" w:hAnsi="Calibri" w:cs="Calibri"/>
          <w:sz w:val="22"/>
          <w:szCs w:val="22"/>
        </w:rPr>
        <w:t xml:space="preserve">intent of </w:t>
      </w:r>
      <w:r w:rsidRPr="7A1736CA">
        <w:rPr>
          <w:rFonts w:ascii="Calibri" w:hAnsi="Calibri" w:cs="Calibri"/>
          <w:sz w:val="22"/>
          <w:szCs w:val="22"/>
        </w:rPr>
        <w:t xml:space="preserve">the </w:t>
      </w:r>
      <w:r w:rsidRPr="3EFD3A28">
        <w:rPr>
          <w:rFonts w:ascii="Calibri" w:hAnsi="Calibri" w:cs="Calibri"/>
          <w:sz w:val="22"/>
          <w:szCs w:val="22"/>
        </w:rPr>
        <w:t xml:space="preserve">NEVI </w:t>
      </w:r>
      <w:r w:rsidRPr="149E80DA">
        <w:rPr>
          <w:rFonts w:ascii="Calibri" w:hAnsi="Calibri" w:cs="Calibri"/>
          <w:sz w:val="22"/>
          <w:szCs w:val="22"/>
        </w:rPr>
        <w:t>program</w:t>
      </w:r>
      <w:r w:rsidRPr="23399E8B">
        <w:rPr>
          <w:rFonts w:ascii="Calibri" w:hAnsi="Calibri" w:cs="Calibri"/>
          <w:sz w:val="22"/>
          <w:szCs w:val="22"/>
        </w:rPr>
        <w:t>.</w:t>
      </w:r>
      <w:r w:rsidRPr="5DFECAE6">
        <w:rPr>
          <w:rFonts w:ascii="Calibri" w:hAnsi="Calibri" w:cs="Calibri"/>
          <w:sz w:val="22"/>
          <w:szCs w:val="22"/>
        </w:rPr>
        <w:t xml:space="preserve"> </w:t>
      </w:r>
    </w:p>
    <w:p w14:paraId="6690C327" w14:textId="77777777" w:rsidR="00B734CD" w:rsidRPr="00D6375A" w:rsidRDefault="00B734CD" w:rsidP="00B734CD">
      <w:pPr>
        <w:rPr>
          <w:rFonts w:ascii="Calibri" w:hAnsi="Calibri" w:cs="Calibri"/>
          <w:sz w:val="22"/>
          <w:szCs w:val="22"/>
        </w:rPr>
      </w:pPr>
      <w:r w:rsidRPr="00D6375A">
        <w:rPr>
          <w:rFonts w:ascii="Calibri" w:hAnsi="Calibri" w:cs="Calibri"/>
          <w:sz w:val="22"/>
          <w:szCs w:val="22"/>
        </w:rPr>
        <w:t>We therefore urge FDOT to reconsider whether the proposed eVTOL investments represent an appropriate use of Florida’s NEVI allocation, particularly while significant gaps remain in the state's ground transportation charging network.</w:t>
      </w:r>
    </w:p>
    <w:p w14:paraId="5A9BA4E1" w14:textId="77777777" w:rsidR="00B734CD" w:rsidRPr="00D6375A" w:rsidRDefault="00B734CD" w:rsidP="00B734CD">
      <w:pPr>
        <w:rPr>
          <w:rFonts w:ascii="Calibri" w:hAnsi="Calibri" w:cs="Calibri"/>
          <w:sz w:val="22"/>
          <w:szCs w:val="22"/>
        </w:rPr>
      </w:pPr>
      <w:r w:rsidRPr="00D6375A">
        <w:rPr>
          <w:rFonts w:ascii="Calibri" w:hAnsi="Calibri" w:cs="Calibri"/>
          <w:sz w:val="22"/>
          <w:szCs w:val="22"/>
        </w:rPr>
        <w:t>Thank you for your consideration.</w:t>
      </w:r>
    </w:p>
    <w:p w14:paraId="2011334B" w14:textId="77777777" w:rsidR="00B734CD" w:rsidRPr="00D6375A" w:rsidRDefault="00B734CD" w:rsidP="00B734CD">
      <w:pPr>
        <w:rPr>
          <w:rFonts w:ascii="Calibri" w:hAnsi="Calibri" w:cs="Calibri"/>
          <w:sz w:val="22"/>
          <w:szCs w:val="22"/>
        </w:rPr>
      </w:pPr>
      <w:r w:rsidRPr="00D6375A">
        <w:rPr>
          <w:rFonts w:ascii="Calibri" w:hAnsi="Calibri" w:cs="Calibri"/>
          <w:sz w:val="22"/>
          <w:szCs w:val="22"/>
        </w:rPr>
        <w:t>Sincerely,</w:t>
      </w:r>
    </w:p>
    <w:p w14:paraId="4EE978C5" w14:textId="77777777" w:rsidR="00B734CD" w:rsidRPr="00D6375A" w:rsidRDefault="00B734CD" w:rsidP="00B734CD">
      <w:pPr>
        <w:rPr>
          <w:rFonts w:ascii="Calibri" w:hAnsi="Calibri" w:cs="Calibri"/>
          <w:sz w:val="22"/>
          <w:szCs w:val="22"/>
        </w:rPr>
      </w:pPr>
      <w:r w:rsidRPr="00D6375A">
        <w:rPr>
          <w:rFonts w:ascii="Calibri" w:hAnsi="Calibri" w:cs="Calibri"/>
          <w:b/>
          <w:bCs/>
          <w:sz w:val="22"/>
          <w:szCs w:val="22"/>
        </w:rPr>
        <w:t>Electrification Coalition</w:t>
      </w:r>
    </w:p>
    <w:p w14:paraId="6DCB0411" w14:textId="77777777" w:rsidR="00B734CD" w:rsidRPr="00D6375A" w:rsidRDefault="00B734CD" w:rsidP="00B734CD">
      <w:pPr>
        <w:rPr>
          <w:rFonts w:ascii="Calibri" w:hAnsi="Calibri" w:cs="Calibri"/>
          <w:sz w:val="22"/>
          <w:szCs w:val="22"/>
        </w:rPr>
      </w:pPr>
      <w:r w:rsidRPr="00D6375A">
        <w:rPr>
          <w:rFonts w:ascii="Calibri" w:hAnsi="Calibri" w:cs="Calibri"/>
          <w:b/>
          <w:bCs/>
          <w:sz w:val="22"/>
          <w:szCs w:val="22"/>
        </w:rPr>
        <w:lastRenderedPageBreak/>
        <w:t>[Business/Organization Signatories]</w:t>
      </w:r>
    </w:p>
    <w:p w14:paraId="2067EC99" w14:textId="77777777" w:rsidR="00B734CD" w:rsidRPr="00D6375A" w:rsidRDefault="00B734CD" w:rsidP="00B734CD">
      <w:pPr>
        <w:rPr>
          <w:rFonts w:ascii="Calibri" w:hAnsi="Calibri" w:cs="Calibri"/>
          <w:sz w:val="22"/>
          <w:szCs w:val="22"/>
        </w:rPr>
      </w:pPr>
    </w:p>
    <w:p w14:paraId="32ECF238" w14:textId="77777777" w:rsidR="00D6375A" w:rsidRPr="00D6375A" w:rsidRDefault="00D6375A">
      <w:pPr>
        <w:rPr>
          <w:rFonts w:ascii="Calibri" w:hAnsi="Calibri" w:cs="Calibri"/>
          <w:sz w:val="22"/>
          <w:szCs w:val="22"/>
        </w:rPr>
      </w:pPr>
    </w:p>
    <w:sectPr w:rsidR="00D6375A" w:rsidRPr="00D6375A" w:rsidSect="00B734CD">
      <w:footerReference w:type="even" r:id="rId7"/>
      <w:footerReference w:type="default" r:id="rId8"/>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D77A2" w14:textId="77777777" w:rsidR="00E553E3" w:rsidRDefault="00E553E3">
      <w:pPr>
        <w:spacing w:after="0" w:line="240" w:lineRule="auto"/>
      </w:pPr>
      <w:r>
        <w:separator/>
      </w:r>
    </w:p>
  </w:endnote>
  <w:endnote w:type="continuationSeparator" w:id="0">
    <w:p w14:paraId="6480C7F5" w14:textId="77777777" w:rsidR="00E553E3" w:rsidRDefault="00E553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370C3" w14:textId="77777777" w:rsidR="00F51913" w:rsidRDefault="00A23FF5">
    <w:pPr>
      <w:pStyle w:val="Footer"/>
    </w:pPr>
    <w:r>
      <w:rPr>
        <w:noProof/>
      </w:rPr>
      <mc:AlternateContent>
        <mc:Choice Requires="wps">
          <w:drawing>
            <wp:anchor distT="0" distB="0" distL="0" distR="0" simplePos="0" relativeHeight="251660288" behindDoc="0" locked="0" layoutInCell="1" allowOverlap="1" wp14:anchorId="4FE4919C" wp14:editId="0EB2E903">
              <wp:simplePos x="635" y="635"/>
              <wp:positionH relativeFrom="page">
                <wp:align>left</wp:align>
              </wp:positionH>
              <wp:positionV relativeFrom="page">
                <wp:align>bottom</wp:align>
              </wp:positionV>
              <wp:extent cx="593090" cy="334010"/>
              <wp:effectExtent l="0" t="0" r="16510" b="0"/>
              <wp:wrapNone/>
              <wp:docPr id="904908106" name="Text Box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3090" cy="334010"/>
                      </a:xfrm>
                      <a:prstGeom prst="rect">
                        <a:avLst/>
                      </a:prstGeom>
                      <a:noFill/>
                      <a:ln>
                        <a:noFill/>
                      </a:ln>
                    </wps:spPr>
                    <wps:txbx>
                      <w:txbxContent>
                        <w:p w14:paraId="4DEC7D20" w14:textId="77777777" w:rsidR="00F51913" w:rsidRPr="00B078BA" w:rsidRDefault="00A23FF5" w:rsidP="00B078BA">
                          <w:pPr>
                            <w:spacing w:after="0"/>
                            <w:rPr>
                              <w:rFonts w:ascii="Aptos" w:eastAsia="Aptos" w:hAnsi="Aptos" w:cs="Aptos"/>
                              <w:noProof/>
                              <w:color w:val="000000"/>
                              <w:sz w:val="16"/>
                              <w:szCs w:val="16"/>
                            </w:rPr>
                          </w:pPr>
                          <w:r w:rsidRPr="00B078BA">
                            <w:rPr>
                              <w:rFonts w:ascii="Aptos" w:eastAsia="Aptos" w:hAnsi="Aptos" w:cs="Aptos"/>
                              <w:noProof/>
                              <w:color w:val="000000"/>
                              <w:sz w:val="16"/>
                              <w:szCs w:val="16"/>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FE4919C" id="_x0000_t202" coordsize="21600,21600" o:spt="202" path="m,l,21600r21600,l21600,xe">
              <v:stroke joinstyle="miter"/>
              <v:path gradientshapeok="t" o:connecttype="rect"/>
            </v:shapetype>
            <v:shape id="Text Box 2" o:spid="_x0000_s1026" type="#_x0000_t202" alt="Internal" style="position:absolute;margin-left:0;margin-top:0;width:46.7pt;height:26.3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" filled="f" stroked="f">
              <v:textbox style="mso-fit-shape-to-text:t" inset="20pt,0,0,15pt">
                <w:txbxContent>
                  <w:p w14:paraId="4DEC7D20" w14:textId="77777777" w:rsidR="00F51913" w:rsidRPr="00B078BA" w:rsidRDefault="00A23FF5" w:rsidP="00B078BA">
                    <w:pPr>
                      <w:spacing w:after="0"/>
                      <w:rPr>
                        <w:rFonts w:ascii="Aptos" w:eastAsia="Aptos" w:hAnsi="Aptos" w:cs="Aptos"/>
                        <w:noProof/>
                        <w:color w:val="000000"/>
                        <w:sz w:val="16"/>
                        <w:szCs w:val="16"/>
                      </w:rPr>
                    </w:pPr>
                    <w:r w:rsidRPr="00B078BA">
                      <w:rPr>
                        <w:rFonts w:ascii="Aptos" w:eastAsia="Aptos" w:hAnsi="Aptos" w:cs="Aptos"/>
                        <w:noProof/>
                        <w:color w:val="000000"/>
                        <w:sz w:val="16"/>
                        <w:szCs w:val="16"/>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FDE6C" w14:textId="77777777" w:rsidR="00F51913" w:rsidRDefault="00A23FF5">
    <w:pPr>
      <w:pStyle w:val="Footer"/>
    </w:pPr>
    <w:r>
      <w:rPr>
        <w:noProof/>
      </w:rPr>
      <mc:AlternateContent>
        <mc:Choice Requires="wps">
          <w:drawing>
            <wp:anchor distT="0" distB="0" distL="0" distR="0" simplePos="0" relativeHeight="251661312" behindDoc="0" locked="0" layoutInCell="1" allowOverlap="1" wp14:anchorId="00A1DBAE" wp14:editId="5C754F8B">
              <wp:simplePos x="914400" y="9420225"/>
              <wp:positionH relativeFrom="page">
                <wp:align>left</wp:align>
              </wp:positionH>
              <wp:positionV relativeFrom="page">
                <wp:align>bottom</wp:align>
              </wp:positionV>
              <wp:extent cx="593090" cy="334010"/>
              <wp:effectExtent l="0" t="0" r="16510" b="0"/>
              <wp:wrapNone/>
              <wp:docPr id="1545396741" name="Text Box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3090" cy="334010"/>
                      </a:xfrm>
                      <a:prstGeom prst="rect">
                        <a:avLst/>
                      </a:prstGeom>
                      <a:noFill/>
                      <a:ln>
                        <a:noFill/>
                      </a:ln>
                    </wps:spPr>
                    <wps:txbx>
                      <w:txbxContent>
                        <w:p w14:paraId="1C07B9DC" w14:textId="77777777" w:rsidR="00F51913" w:rsidRPr="00B078BA" w:rsidRDefault="00A23FF5" w:rsidP="00B078BA">
                          <w:pPr>
                            <w:spacing w:after="0"/>
                            <w:rPr>
                              <w:rFonts w:ascii="Aptos" w:eastAsia="Aptos" w:hAnsi="Aptos" w:cs="Aptos"/>
                              <w:noProof/>
                              <w:color w:val="000000"/>
                              <w:sz w:val="16"/>
                              <w:szCs w:val="16"/>
                            </w:rPr>
                          </w:pPr>
                          <w:r w:rsidRPr="00B078BA">
                            <w:rPr>
                              <w:rFonts w:ascii="Aptos" w:eastAsia="Aptos" w:hAnsi="Aptos" w:cs="Aptos"/>
                              <w:noProof/>
                              <w:color w:val="000000"/>
                              <w:sz w:val="16"/>
                              <w:szCs w:val="16"/>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0A1DBAE" id="_x0000_t202" coordsize="21600,21600" o:spt="202" path="m,l,21600r21600,l21600,xe">
              <v:stroke joinstyle="miter"/>
              <v:path gradientshapeok="t" o:connecttype="rect"/>
            </v:shapetype>
            <v:shape id="Text Box 3" o:spid="_x0000_s1027" type="#_x0000_t202" alt="Internal" style="position:absolute;margin-left:0;margin-top:0;width:46.7pt;height:26.3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" filled="f" stroked="f">
              <v:textbox style="mso-fit-shape-to-text:t" inset="20pt,0,0,15pt">
                <w:txbxContent>
                  <w:p w14:paraId="1C07B9DC" w14:textId="77777777" w:rsidR="00F51913" w:rsidRPr="00B078BA" w:rsidRDefault="00A23FF5" w:rsidP="00B078BA">
                    <w:pPr>
                      <w:spacing w:after="0"/>
                      <w:rPr>
                        <w:rFonts w:ascii="Aptos" w:eastAsia="Aptos" w:hAnsi="Aptos" w:cs="Aptos"/>
                        <w:noProof/>
                        <w:color w:val="000000"/>
                        <w:sz w:val="16"/>
                        <w:szCs w:val="16"/>
                      </w:rPr>
                    </w:pPr>
                    <w:r w:rsidRPr="00B078BA">
                      <w:rPr>
                        <w:rFonts w:ascii="Aptos" w:eastAsia="Aptos" w:hAnsi="Aptos" w:cs="Aptos"/>
                        <w:noProof/>
                        <w:color w:val="000000"/>
                        <w:sz w:val="16"/>
                        <w:szCs w:val="16"/>
                      </w:rPr>
                      <w:t>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29BE6" w14:textId="77777777" w:rsidR="00F51913" w:rsidRDefault="00A23FF5">
    <w:pPr>
      <w:pStyle w:val="Footer"/>
    </w:pPr>
    <w:r>
      <w:rPr>
        <w:noProof/>
      </w:rPr>
      <mc:AlternateContent>
        <mc:Choice Requires="wps">
          <w:drawing>
            <wp:anchor distT="0" distB="0" distL="0" distR="0" simplePos="0" relativeHeight="251659264" behindDoc="0" locked="0" layoutInCell="1" allowOverlap="1" wp14:anchorId="1B795D38" wp14:editId="19F9E47E">
              <wp:simplePos x="635" y="635"/>
              <wp:positionH relativeFrom="page">
                <wp:align>left</wp:align>
              </wp:positionH>
              <wp:positionV relativeFrom="page">
                <wp:align>bottom</wp:align>
              </wp:positionV>
              <wp:extent cx="593090" cy="334010"/>
              <wp:effectExtent l="0" t="0" r="16510" b="0"/>
              <wp:wrapNone/>
              <wp:docPr id="352952436" name="Text Box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3090" cy="334010"/>
                      </a:xfrm>
                      <a:prstGeom prst="rect">
                        <a:avLst/>
                      </a:prstGeom>
                      <a:noFill/>
                      <a:ln>
                        <a:noFill/>
                      </a:ln>
                    </wps:spPr>
                    <wps:txbx>
                      <w:txbxContent>
                        <w:p w14:paraId="7E0562DF" w14:textId="77777777" w:rsidR="00F51913" w:rsidRPr="00B078BA" w:rsidRDefault="00A23FF5" w:rsidP="00B078BA">
                          <w:pPr>
                            <w:spacing w:after="0"/>
                            <w:rPr>
                              <w:rFonts w:ascii="Aptos" w:eastAsia="Aptos" w:hAnsi="Aptos" w:cs="Aptos"/>
                              <w:noProof/>
                              <w:color w:val="000000"/>
                              <w:sz w:val="16"/>
                              <w:szCs w:val="16"/>
                            </w:rPr>
                          </w:pPr>
                          <w:r w:rsidRPr="00B078BA">
                            <w:rPr>
                              <w:rFonts w:ascii="Aptos" w:eastAsia="Aptos" w:hAnsi="Aptos" w:cs="Aptos"/>
                              <w:noProof/>
                              <w:color w:val="000000"/>
                              <w:sz w:val="16"/>
                              <w:szCs w:val="16"/>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B795D38" id="_x0000_t202" coordsize="21600,21600" o:spt="202" path="m,l,21600r21600,l21600,xe">
              <v:stroke joinstyle="miter"/>
              <v:path gradientshapeok="t" o:connecttype="rect"/>
            </v:shapetype>
            <v:shape id="Text Box 1" o:spid="_x0000_s1028" type="#_x0000_t202" alt="Internal" style="position:absolute;margin-left:0;margin-top:0;width:46.7pt;height:26.3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" filled="f" stroked="f">
              <v:textbox style="mso-fit-shape-to-text:t" inset="20pt,0,0,15pt">
                <w:txbxContent>
                  <w:p w14:paraId="7E0562DF" w14:textId="77777777" w:rsidR="00F51913" w:rsidRPr="00B078BA" w:rsidRDefault="00A23FF5" w:rsidP="00B078BA">
                    <w:pPr>
                      <w:spacing w:after="0"/>
                      <w:rPr>
                        <w:rFonts w:ascii="Aptos" w:eastAsia="Aptos" w:hAnsi="Aptos" w:cs="Aptos"/>
                        <w:noProof/>
                        <w:color w:val="000000"/>
                        <w:sz w:val="16"/>
                        <w:szCs w:val="16"/>
                      </w:rPr>
                    </w:pPr>
                    <w:r w:rsidRPr="00B078BA">
                      <w:rPr>
                        <w:rFonts w:ascii="Aptos" w:eastAsia="Aptos" w:hAnsi="Aptos" w:cs="Aptos"/>
                        <w:noProof/>
                        <w:color w:val="000000"/>
                        <w:sz w:val="16"/>
                        <w:szCs w:val="16"/>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E2AD3" w14:textId="77777777" w:rsidR="00E553E3" w:rsidRDefault="00E553E3">
      <w:pPr>
        <w:spacing w:after="0" w:line="240" w:lineRule="auto"/>
      </w:pPr>
      <w:r>
        <w:separator/>
      </w:r>
    </w:p>
  </w:footnote>
  <w:footnote w:type="continuationSeparator" w:id="0">
    <w:p w14:paraId="00D849C7" w14:textId="77777777" w:rsidR="00E553E3" w:rsidRDefault="00E553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80EFF"/>
    <w:multiLevelType w:val="multilevel"/>
    <w:tmpl w:val="FE162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9293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75A"/>
    <w:rsid w:val="0000375B"/>
    <w:rsid w:val="000065F6"/>
    <w:rsid w:val="0001BE9C"/>
    <w:rsid w:val="000A548F"/>
    <w:rsid w:val="000A6648"/>
    <w:rsid w:val="000E0423"/>
    <w:rsid w:val="000E2B23"/>
    <w:rsid w:val="000E3EAA"/>
    <w:rsid w:val="000F14EC"/>
    <w:rsid w:val="000F62B9"/>
    <w:rsid w:val="0011252C"/>
    <w:rsid w:val="001139E9"/>
    <w:rsid w:val="00146E7D"/>
    <w:rsid w:val="001636EF"/>
    <w:rsid w:val="001758A0"/>
    <w:rsid w:val="0018473D"/>
    <w:rsid w:val="00196475"/>
    <w:rsid w:val="001A21F0"/>
    <w:rsid w:val="001B3934"/>
    <w:rsid w:val="001C5F2F"/>
    <w:rsid w:val="001E61B2"/>
    <w:rsid w:val="00220A9C"/>
    <w:rsid w:val="00233E43"/>
    <w:rsid w:val="00257800"/>
    <w:rsid w:val="0026572F"/>
    <w:rsid w:val="002A3AE4"/>
    <w:rsid w:val="002B4DC1"/>
    <w:rsid w:val="002C5A4A"/>
    <w:rsid w:val="002F0585"/>
    <w:rsid w:val="00331CB9"/>
    <w:rsid w:val="0033712A"/>
    <w:rsid w:val="003512B0"/>
    <w:rsid w:val="00372364"/>
    <w:rsid w:val="003B125D"/>
    <w:rsid w:val="003F4016"/>
    <w:rsid w:val="00402BA6"/>
    <w:rsid w:val="00415A92"/>
    <w:rsid w:val="00424CB6"/>
    <w:rsid w:val="004567EA"/>
    <w:rsid w:val="00463CC7"/>
    <w:rsid w:val="004F69F0"/>
    <w:rsid w:val="00500291"/>
    <w:rsid w:val="00522897"/>
    <w:rsid w:val="005512A4"/>
    <w:rsid w:val="00580A0C"/>
    <w:rsid w:val="005C3A89"/>
    <w:rsid w:val="005C5313"/>
    <w:rsid w:val="006045D3"/>
    <w:rsid w:val="006B3879"/>
    <w:rsid w:val="006F1DC4"/>
    <w:rsid w:val="007368B5"/>
    <w:rsid w:val="007526D0"/>
    <w:rsid w:val="00754A5A"/>
    <w:rsid w:val="007649BD"/>
    <w:rsid w:val="00795694"/>
    <w:rsid w:val="007A45E3"/>
    <w:rsid w:val="007B1BFB"/>
    <w:rsid w:val="007D144B"/>
    <w:rsid w:val="008367F6"/>
    <w:rsid w:val="008400D7"/>
    <w:rsid w:val="0084465A"/>
    <w:rsid w:val="00852809"/>
    <w:rsid w:val="0086587C"/>
    <w:rsid w:val="008A2AFF"/>
    <w:rsid w:val="00912906"/>
    <w:rsid w:val="009236D4"/>
    <w:rsid w:val="009350CD"/>
    <w:rsid w:val="009443F2"/>
    <w:rsid w:val="0094505F"/>
    <w:rsid w:val="00951367"/>
    <w:rsid w:val="009824C4"/>
    <w:rsid w:val="0098708E"/>
    <w:rsid w:val="00A050A7"/>
    <w:rsid w:val="00A2023B"/>
    <w:rsid w:val="00A23FF5"/>
    <w:rsid w:val="00A37326"/>
    <w:rsid w:val="00A45E07"/>
    <w:rsid w:val="00A67BAF"/>
    <w:rsid w:val="00AA710A"/>
    <w:rsid w:val="00AB459A"/>
    <w:rsid w:val="00AB6CEF"/>
    <w:rsid w:val="00AB6E29"/>
    <w:rsid w:val="00AC00F2"/>
    <w:rsid w:val="00AE0160"/>
    <w:rsid w:val="00B06A4E"/>
    <w:rsid w:val="00B22F49"/>
    <w:rsid w:val="00B46658"/>
    <w:rsid w:val="00B66202"/>
    <w:rsid w:val="00B734CD"/>
    <w:rsid w:val="00B80C57"/>
    <w:rsid w:val="00BA5BAC"/>
    <w:rsid w:val="00BC6421"/>
    <w:rsid w:val="00C05D8C"/>
    <w:rsid w:val="00C3179D"/>
    <w:rsid w:val="00C8035D"/>
    <w:rsid w:val="00C84B06"/>
    <w:rsid w:val="00CA33EC"/>
    <w:rsid w:val="00CB6ED7"/>
    <w:rsid w:val="00CB753E"/>
    <w:rsid w:val="00CC57AD"/>
    <w:rsid w:val="00CE3035"/>
    <w:rsid w:val="00CE3074"/>
    <w:rsid w:val="00D06A32"/>
    <w:rsid w:val="00D13B6C"/>
    <w:rsid w:val="00D568FF"/>
    <w:rsid w:val="00D61567"/>
    <w:rsid w:val="00D6375A"/>
    <w:rsid w:val="00D71E05"/>
    <w:rsid w:val="00D91438"/>
    <w:rsid w:val="00D92E51"/>
    <w:rsid w:val="00DB5689"/>
    <w:rsid w:val="00DB5DF3"/>
    <w:rsid w:val="00E05DFA"/>
    <w:rsid w:val="00E1015E"/>
    <w:rsid w:val="00E26B1E"/>
    <w:rsid w:val="00E30041"/>
    <w:rsid w:val="00E553E3"/>
    <w:rsid w:val="00E81435"/>
    <w:rsid w:val="00E92E59"/>
    <w:rsid w:val="00E93E34"/>
    <w:rsid w:val="00EC4F28"/>
    <w:rsid w:val="00EE3572"/>
    <w:rsid w:val="00F05A72"/>
    <w:rsid w:val="00F458FA"/>
    <w:rsid w:val="00F50F39"/>
    <w:rsid w:val="00F51913"/>
    <w:rsid w:val="00F80D07"/>
    <w:rsid w:val="024D3361"/>
    <w:rsid w:val="0298FF0C"/>
    <w:rsid w:val="02B00098"/>
    <w:rsid w:val="02EAB2CF"/>
    <w:rsid w:val="032DA905"/>
    <w:rsid w:val="050A09B8"/>
    <w:rsid w:val="050E151C"/>
    <w:rsid w:val="05DE09BA"/>
    <w:rsid w:val="06A82A0B"/>
    <w:rsid w:val="079C9206"/>
    <w:rsid w:val="07EAFC71"/>
    <w:rsid w:val="0A4497C3"/>
    <w:rsid w:val="0AAB7892"/>
    <w:rsid w:val="0C6CC4F6"/>
    <w:rsid w:val="0F38D73D"/>
    <w:rsid w:val="1034E860"/>
    <w:rsid w:val="104661E6"/>
    <w:rsid w:val="10D087CD"/>
    <w:rsid w:val="123340FD"/>
    <w:rsid w:val="123534F3"/>
    <w:rsid w:val="1336A4F2"/>
    <w:rsid w:val="149C2BAE"/>
    <w:rsid w:val="149E80DA"/>
    <w:rsid w:val="16AD5774"/>
    <w:rsid w:val="18F17007"/>
    <w:rsid w:val="1A6B9EFD"/>
    <w:rsid w:val="1B7CA816"/>
    <w:rsid w:val="1BAE4340"/>
    <w:rsid w:val="1C6A1787"/>
    <w:rsid w:val="1CE3F33C"/>
    <w:rsid w:val="1D7DCC91"/>
    <w:rsid w:val="1F6A5B79"/>
    <w:rsid w:val="1FB3D1FD"/>
    <w:rsid w:val="214E47F2"/>
    <w:rsid w:val="23399E8B"/>
    <w:rsid w:val="24604299"/>
    <w:rsid w:val="24D9F5CE"/>
    <w:rsid w:val="2544D612"/>
    <w:rsid w:val="26C475E6"/>
    <w:rsid w:val="27C8D8FA"/>
    <w:rsid w:val="2886C8CF"/>
    <w:rsid w:val="2E7777F0"/>
    <w:rsid w:val="2F295364"/>
    <w:rsid w:val="2FD43083"/>
    <w:rsid w:val="300A912D"/>
    <w:rsid w:val="312CBD2D"/>
    <w:rsid w:val="33282F2F"/>
    <w:rsid w:val="351792CD"/>
    <w:rsid w:val="357EFD75"/>
    <w:rsid w:val="3596D787"/>
    <w:rsid w:val="37536D69"/>
    <w:rsid w:val="379142C2"/>
    <w:rsid w:val="37A17480"/>
    <w:rsid w:val="38B34A95"/>
    <w:rsid w:val="39DABFF7"/>
    <w:rsid w:val="3A52B39E"/>
    <w:rsid w:val="3A624AD5"/>
    <w:rsid w:val="3AC0B7A2"/>
    <w:rsid w:val="3B93D4E7"/>
    <w:rsid w:val="3B94FF89"/>
    <w:rsid w:val="3BCF920E"/>
    <w:rsid w:val="3C8AF82E"/>
    <w:rsid w:val="3E7CDE3C"/>
    <w:rsid w:val="3EFD3A28"/>
    <w:rsid w:val="3F7495B9"/>
    <w:rsid w:val="40287754"/>
    <w:rsid w:val="42501A1E"/>
    <w:rsid w:val="43E5BFBC"/>
    <w:rsid w:val="44420E42"/>
    <w:rsid w:val="44ED7198"/>
    <w:rsid w:val="46C4724E"/>
    <w:rsid w:val="4AEDEFD1"/>
    <w:rsid w:val="4B004109"/>
    <w:rsid w:val="4C3C13DA"/>
    <w:rsid w:val="4C8A9E03"/>
    <w:rsid w:val="4D584049"/>
    <w:rsid w:val="4E3A3909"/>
    <w:rsid w:val="5276B5DB"/>
    <w:rsid w:val="52A73DB2"/>
    <w:rsid w:val="53224BEB"/>
    <w:rsid w:val="545271D5"/>
    <w:rsid w:val="59D8814B"/>
    <w:rsid w:val="5A9D42E9"/>
    <w:rsid w:val="5C43F40C"/>
    <w:rsid w:val="5DED4F40"/>
    <w:rsid w:val="5DFECAE6"/>
    <w:rsid w:val="5E64B8AD"/>
    <w:rsid w:val="60BC9B1B"/>
    <w:rsid w:val="60C4D75E"/>
    <w:rsid w:val="61E43AA0"/>
    <w:rsid w:val="63DEFECC"/>
    <w:rsid w:val="654A310A"/>
    <w:rsid w:val="664DC459"/>
    <w:rsid w:val="66F45FF3"/>
    <w:rsid w:val="66FF4B2F"/>
    <w:rsid w:val="69A99BEA"/>
    <w:rsid w:val="6C914E41"/>
    <w:rsid w:val="6D771F2F"/>
    <w:rsid w:val="702FC2D0"/>
    <w:rsid w:val="71DDDE65"/>
    <w:rsid w:val="71E3C6E4"/>
    <w:rsid w:val="72FF5EFB"/>
    <w:rsid w:val="73EC4BB1"/>
    <w:rsid w:val="744CD934"/>
    <w:rsid w:val="745FF157"/>
    <w:rsid w:val="74DC943A"/>
    <w:rsid w:val="74FDBE9B"/>
    <w:rsid w:val="765F049E"/>
    <w:rsid w:val="76A803B7"/>
    <w:rsid w:val="77107005"/>
    <w:rsid w:val="775CB03F"/>
    <w:rsid w:val="7899D4FF"/>
    <w:rsid w:val="7A1736CA"/>
    <w:rsid w:val="7C3D504C"/>
    <w:rsid w:val="7CE36A06"/>
    <w:rsid w:val="7CF4C33F"/>
    <w:rsid w:val="7DC65C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FE834"/>
  <w15:chartTrackingRefBased/>
  <w15:docId w15:val="{37688FC1-9C1A-4DE7-B866-4B77E8BB7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4CD"/>
  </w:style>
  <w:style w:type="paragraph" w:styleId="Heading1">
    <w:name w:val="heading 1"/>
    <w:basedOn w:val="Normal"/>
    <w:next w:val="Normal"/>
    <w:link w:val="Heading1Char"/>
    <w:uiPriority w:val="9"/>
    <w:qFormat/>
    <w:rsid w:val="00D637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37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37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37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37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37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37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37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37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37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37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37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37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37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37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37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37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375A"/>
    <w:rPr>
      <w:rFonts w:eastAsiaTheme="majorEastAsia" w:cstheme="majorBidi"/>
      <w:color w:val="272727" w:themeColor="text1" w:themeTint="D8"/>
    </w:rPr>
  </w:style>
  <w:style w:type="paragraph" w:styleId="Title">
    <w:name w:val="Title"/>
    <w:basedOn w:val="Normal"/>
    <w:next w:val="Normal"/>
    <w:link w:val="TitleChar"/>
    <w:uiPriority w:val="10"/>
    <w:qFormat/>
    <w:rsid w:val="00D637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37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37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37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375A"/>
    <w:pPr>
      <w:spacing w:before="160"/>
      <w:jc w:val="center"/>
    </w:pPr>
    <w:rPr>
      <w:i/>
      <w:iCs/>
      <w:color w:val="404040" w:themeColor="text1" w:themeTint="BF"/>
    </w:rPr>
  </w:style>
  <w:style w:type="character" w:customStyle="1" w:styleId="QuoteChar">
    <w:name w:val="Quote Char"/>
    <w:basedOn w:val="DefaultParagraphFont"/>
    <w:link w:val="Quote"/>
    <w:uiPriority w:val="29"/>
    <w:rsid w:val="00D6375A"/>
    <w:rPr>
      <w:i/>
      <w:iCs/>
      <w:color w:val="404040" w:themeColor="text1" w:themeTint="BF"/>
    </w:rPr>
  </w:style>
  <w:style w:type="paragraph" w:styleId="ListParagraph">
    <w:name w:val="List Paragraph"/>
    <w:basedOn w:val="Normal"/>
    <w:uiPriority w:val="34"/>
    <w:qFormat/>
    <w:rsid w:val="00D6375A"/>
    <w:pPr>
      <w:ind w:left="720"/>
      <w:contextualSpacing/>
    </w:pPr>
  </w:style>
  <w:style w:type="character" w:styleId="IntenseEmphasis">
    <w:name w:val="Intense Emphasis"/>
    <w:basedOn w:val="DefaultParagraphFont"/>
    <w:uiPriority w:val="21"/>
    <w:qFormat/>
    <w:rsid w:val="00D6375A"/>
    <w:rPr>
      <w:i/>
      <w:iCs/>
      <w:color w:val="0F4761" w:themeColor="accent1" w:themeShade="BF"/>
    </w:rPr>
  </w:style>
  <w:style w:type="paragraph" w:styleId="IntenseQuote">
    <w:name w:val="Intense Quote"/>
    <w:basedOn w:val="Normal"/>
    <w:next w:val="Normal"/>
    <w:link w:val="IntenseQuoteChar"/>
    <w:uiPriority w:val="30"/>
    <w:qFormat/>
    <w:rsid w:val="00D637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375A"/>
    <w:rPr>
      <w:i/>
      <w:iCs/>
      <w:color w:val="0F4761" w:themeColor="accent1" w:themeShade="BF"/>
    </w:rPr>
  </w:style>
  <w:style w:type="character" w:styleId="IntenseReference">
    <w:name w:val="Intense Reference"/>
    <w:basedOn w:val="DefaultParagraphFont"/>
    <w:uiPriority w:val="32"/>
    <w:qFormat/>
    <w:rsid w:val="00D6375A"/>
    <w:rPr>
      <w:b/>
      <w:bCs/>
      <w:smallCaps/>
      <w:color w:val="0F4761" w:themeColor="accent1" w:themeShade="BF"/>
      <w:spacing w:val="5"/>
    </w:rPr>
  </w:style>
  <w:style w:type="paragraph" w:styleId="Footer">
    <w:name w:val="footer"/>
    <w:basedOn w:val="Normal"/>
    <w:link w:val="FooterChar"/>
    <w:uiPriority w:val="99"/>
    <w:unhideWhenUsed/>
    <w:rsid w:val="00B734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34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Celia Kosinski</dc:creator>
  <cp:keywords/>
  <dc:description/>
  <cp:lastModifiedBy>Celia Kosinski</cp:lastModifiedBy>
  <cp:revision>3</cp:revision>
  <dcterms:created xsi:type="dcterms:W3CDTF">2026-09-08T14:31:00Z</dcterms:created>
  <dcterms:modified xsi:type="dcterms:W3CDTF">2026-09-10T13:18:00Z</dcterms:modified>
</cp:coreProperties>
</file>